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9416E" w14:textId="77777777" w:rsidR="000D4F95" w:rsidRPr="000D4F95" w:rsidRDefault="000D4F95" w:rsidP="000D4F95">
      <w:pPr>
        <w:pStyle w:val="Tytu"/>
        <w:rPr>
          <w:lang w:val="en-US"/>
        </w:rPr>
      </w:pPr>
      <w:r w:rsidRPr="000D4F95">
        <w:rPr>
          <w:lang w:val="en-US"/>
        </w:rPr>
        <w:t xml:space="preserve">Philips </w:t>
      </w:r>
      <w:proofErr w:type="spellStart"/>
      <w:r w:rsidRPr="000D4F95">
        <w:rPr>
          <w:lang w:val="en-US"/>
        </w:rPr>
        <w:t>SingleLine</w:t>
      </w:r>
      <w:proofErr w:type="spellEnd"/>
      <w:r w:rsidRPr="000D4F95">
        <w:rPr>
          <w:lang w:val="en-US"/>
        </w:rPr>
        <w:t xml:space="preserve"> – modern luminaire produced in Europe</w:t>
      </w:r>
    </w:p>
    <w:p w14:paraId="7ECFE157" w14:textId="0CC24876" w:rsidR="000D4F95" w:rsidRPr="000D4F95" w:rsidRDefault="000D4F95" w:rsidP="000D4F95">
      <w:r w:rsidRPr="000D4F95">
        <w:drawing>
          <wp:inline distT="0" distB="0" distL="0" distR="0" wp14:anchorId="4A06DE5C" wp14:editId="5BC7E055">
            <wp:extent cx="5731510" cy="2865755"/>
            <wp:effectExtent l="0" t="0" r="2540" b="0"/>
            <wp:docPr id="1887759438" name="Obraz 4" descr="Philips SingleLine – modern luminaire produced in Eu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hilips SingleLine – modern luminaire produced in Europ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4B248" w14:textId="6EFCF572" w:rsidR="000D4F95" w:rsidRPr="000D4F95" w:rsidRDefault="000D4F95" w:rsidP="000D4F95"/>
    <w:p w14:paraId="0072023C" w14:textId="26139FD7" w:rsidR="000D4F95" w:rsidRPr="000D4F95" w:rsidRDefault="000D4F95" w:rsidP="000D4F95">
      <w:pPr>
        <w:rPr>
          <w:lang w:val="en-US"/>
        </w:rPr>
      </w:pPr>
      <w:r w:rsidRPr="000D4F95">
        <w:rPr>
          <w:lang w:val="en-US"/>
        </w:rPr>
        <w:t xml:space="preserve">In lighting design, simplicity is increasingly winning. It’s not about minimalism for the sake of minimalism, but about functionality that doesn’t distract from </w:t>
      </w:r>
      <w:r w:rsidRPr="000D4F95">
        <w:rPr>
          <w:lang w:val="en-US"/>
        </w:rPr>
        <w:t>space</w:t>
      </w:r>
      <w:r w:rsidRPr="000D4F95">
        <w:rPr>
          <w:lang w:val="en-US"/>
        </w:rPr>
        <w:t xml:space="preserve">, but rather highlights it. This is exactly what Philips </w:t>
      </w:r>
      <w:proofErr w:type="spellStart"/>
      <w:r w:rsidRPr="000D4F95">
        <w:rPr>
          <w:lang w:val="en-US"/>
        </w:rPr>
        <w:t>SingleLine</w:t>
      </w:r>
      <w:proofErr w:type="spellEnd"/>
      <w:r w:rsidRPr="000D4F95">
        <w:rPr>
          <w:lang w:val="en-US"/>
        </w:rPr>
        <w:t xml:space="preserve"> is – a linear lighting fixture manufactured at the Signify factory in </w:t>
      </w:r>
      <w:proofErr w:type="spellStart"/>
      <w:r w:rsidRPr="000D4F95">
        <w:rPr>
          <w:lang w:val="en-US"/>
        </w:rPr>
        <w:t>Piła</w:t>
      </w:r>
      <w:proofErr w:type="spellEnd"/>
      <w:r w:rsidRPr="000D4F95">
        <w:rPr>
          <w:lang w:val="en-US"/>
        </w:rPr>
        <w:t>.</w:t>
      </w:r>
    </w:p>
    <w:p w14:paraId="30CC67FA" w14:textId="77777777" w:rsidR="000D4F95" w:rsidRPr="000D4F95" w:rsidRDefault="000D4F95" w:rsidP="000D4F95">
      <w:pPr>
        <w:rPr>
          <w:lang w:val="en-US"/>
        </w:rPr>
      </w:pPr>
      <w:r w:rsidRPr="000D4F95">
        <w:rPr>
          <w:lang w:val="en-US"/>
        </w:rPr>
        <w:t xml:space="preserve">This solution combines aesthetics with technology. The slim design, precise optics, and solid lighting parameters make </w:t>
      </w:r>
      <w:proofErr w:type="spellStart"/>
      <w:r w:rsidRPr="000D4F95">
        <w:rPr>
          <w:lang w:val="en-US"/>
        </w:rPr>
        <w:t>SingleLine</w:t>
      </w:r>
      <w:proofErr w:type="spellEnd"/>
      <w:r w:rsidRPr="000D4F95">
        <w:rPr>
          <w:lang w:val="en-US"/>
        </w:rPr>
        <w:t xml:space="preserve"> suitable for projects ranging from offices and public buildings to residential spaces. Surface-mounted and suspended versions are available, with various optics options (OC and NOC), light color (3000 K / 4000 K), length, and housing color available on request.</w:t>
      </w:r>
    </w:p>
    <w:p w14:paraId="2CBDB3CB" w14:textId="77777777" w:rsidR="000D4F95" w:rsidRPr="000D4F95" w:rsidRDefault="000D4F95" w:rsidP="000D4F95">
      <w:r w:rsidRPr="000D4F95">
        <w:pict w14:anchorId="3C43155F">
          <v:rect id="_x0000_i1061" style="width:0;height:.75pt" o:hralign="center" o:hrstd="t" o:hr="t" fillcolor="#a0a0a0" stroked="f"/>
        </w:pict>
      </w:r>
    </w:p>
    <w:p w14:paraId="04A74D27" w14:textId="77777777" w:rsidR="000D4F95" w:rsidRPr="000D4F95" w:rsidRDefault="000D4F95" w:rsidP="000D4F95">
      <w:pPr>
        <w:rPr>
          <w:lang w:val="en-US"/>
        </w:rPr>
      </w:pPr>
      <w:r w:rsidRPr="000D4F95">
        <w:rPr>
          <w:b/>
          <w:bCs/>
          <w:lang w:val="en-US"/>
        </w:rPr>
        <w:t xml:space="preserve">Looking for materials for Philips </w:t>
      </w:r>
      <w:proofErr w:type="spellStart"/>
      <w:r w:rsidRPr="000D4F95">
        <w:rPr>
          <w:b/>
          <w:bCs/>
          <w:lang w:val="en-US"/>
        </w:rPr>
        <w:t>SingleLine</w:t>
      </w:r>
      <w:proofErr w:type="spellEnd"/>
      <w:r w:rsidRPr="000D4F95">
        <w:rPr>
          <w:b/>
          <w:bCs/>
          <w:lang w:val="en-US"/>
        </w:rPr>
        <w:t>? You can find them now on PartnerPortal.pl!</w:t>
      </w:r>
    </w:p>
    <w:p w14:paraId="21477732" w14:textId="77777777" w:rsidR="000D4F95" w:rsidRPr="000D4F95" w:rsidRDefault="000D4F95" w:rsidP="000D4F95">
      <w:hyperlink r:id="rId8" w:anchor="Philips_SingleLine_EN" w:history="1">
        <w:r w:rsidRPr="000D4F95">
          <w:rPr>
            <w:rStyle w:val="Hipercze"/>
          </w:rPr>
          <w:t xml:space="preserve">Information </w:t>
        </w:r>
        <w:proofErr w:type="spellStart"/>
        <w:r w:rsidRPr="000D4F95">
          <w:rPr>
            <w:rStyle w:val="Hipercze"/>
          </w:rPr>
          <w:t>about</w:t>
        </w:r>
        <w:proofErr w:type="spellEnd"/>
        <w:r w:rsidRPr="000D4F95">
          <w:rPr>
            <w:rStyle w:val="Hipercze"/>
          </w:rPr>
          <w:t xml:space="preserve"> Philips </w:t>
        </w:r>
        <w:proofErr w:type="spellStart"/>
        <w:r w:rsidRPr="000D4F95">
          <w:rPr>
            <w:rStyle w:val="Hipercze"/>
          </w:rPr>
          <w:t>SingleLine</w:t>
        </w:r>
        <w:proofErr w:type="spellEnd"/>
      </w:hyperlink>
    </w:p>
    <w:p w14:paraId="4DB486D4" w14:textId="77777777" w:rsidR="000D4F95" w:rsidRPr="000D4F95" w:rsidRDefault="000D4F95" w:rsidP="000D4F95">
      <w:r w:rsidRPr="000D4F95">
        <w:pict w14:anchorId="7497C3A3">
          <v:rect id="_x0000_i1062" style="width:0;height:.75pt" o:hralign="center" o:hrstd="t" o:hr="t" fillcolor="#a0a0a0" stroked="f"/>
        </w:pict>
      </w:r>
    </w:p>
    <w:p w14:paraId="21A5440E" w14:textId="77777777" w:rsidR="000D4F95" w:rsidRPr="000D4F95" w:rsidRDefault="000D4F95" w:rsidP="000D4F95">
      <w:proofErr w:type="spellStart"/>
      <w:r w:rsidRPr="000D4F95">
        <w:rPr>
          <w:b/>
          <w:bCs/>
        </w:rPr>
        <w:t>Benefits</w:t>
      </w:r>
      <w:proofErr w:type="spellEnd"/>
      <w:r w:rsidRPr="000D4F95">
        <w:rPr>
          <w:b/>
          <w:bCs/>
        </w:rPr>
        <w:t>:</w:t>
      </w:r>
    </w:p>
    <w:p w14:paraId="5C307E63" w14:textId="77777777" w:rsidR="000D4F95" w:rsidRPr="000D4F95" w:rsidRDefault="000D4F95" w:rsidP="000D4F95">
      <w:pPr>
        <w:numPr>
          <w:ilvl w:val="0"/>
          <w:numId w:val="1"/>
        </w:numPr>
        <w:rPr>
          <w:lang w:val="en-US"/>
        </w:rPr>
      </w:pPr>
      <w:r w:rsidRPr="000D4F95">
        <w:rPr>
          <w:lang w:val="en-US"/>
        </w:rPr>
        <w:t>Simple installation – brackets included for surface mounted version, suspension set included for suspended version</w:t>
      </w:r>
    </w:p>
    <w:p w14:paraId="4B6D89BC" w14:textId="77777777" w:rsidR="000D4F95" w:rsidRPr="000D4F95" w:rsidRDefault="000D4F95" w:rsidP="000D4F95">
      <w:pPr>
        <w:numPr>
          <w:ilvl w:val="0"/>
          <w:numId w:val="1"/>
        </w:numPr>
        <w:rPr>
          <w:lang w:val="en-US"/>
        </w:rPr>
      </w:pPr>
      <w:r w:rsidRPr="000D4F95">
        <w:rPr>
          <w:lang w:val="en-US"/>
        </w:rPr>
        <w:lastRenderedPageBreak/>
        <w:t>Low glare office compliant optic (OC): </w:t>
      </w:r>
      <w:r w:rsidRPr="000D4F95">
        <w:rPr>
          <w:b/>
          <w:bCs/>
          <w:lang w:val="en-US"/>
        </w:rPr>
        <w:t>UGR16</w:t>
      </w:r>
    </w:p>
    <w:p w14:paraId="4449CF1B" w14:textId="77777777" w:rsidR="000D4F95" w:rsidRPr="000D4F95" w:rsidRDefault="000D4F95" w:rsidP="000D4F95">
      <w:pPr>
        <w:numPr>
          <w:ilvl w:val="0"/>
          <w:numId w:val="1"/>
        </w:numPr>
        <w:rPr>
          <w:lang w:val="en-US"/>
        </w:rPr>
      </w:pPr>
      <w:r w:rsidRPr="000D4F95">
        <w:rPr>
          <w:lang w:val="en-US"/>
        </w:rPr>
        <w:t>Non office compliant optic (NOC) UGR23</w:t>
      </w:r>
    </w:p>
    <w:p w14:paraId="5E9B2888" w14:textId="77777777" w:rsidR="000D4F95" w:rsidRPr="000D4F95" w:rsidRDefault="000D4F95" w:rsidP="000D4F95">
      <w:pPr>
        <w:numPr>
          <w:ilvl w:val="0"/>
          <w:numId w:val="1"/>
        </w:numPr>
        <w:rPr>
          <w:lang w:val="en-US"/>
        </w:rPr>
      </w:pPr>
      <w:r w:rsidRPr="000D4F95">
        <w:rPr>
          <w:lang w:val="en-US"/>
        </w:rPr>
        <w:t>NOC optic made of micro prism – good glare control and outstanding exit window uniformity</w:t>
      </w:r>
    </w:p>
    <w:p w14:paraId="016ECE90" w14:textId="77777777" w:rsidR="000D4F95" w:rsidRPr="000D4F95" w:rsidRDefault="000D4F95" w:rsidP="000D4F95">
      <w:pPr>
        <w:numPr>
          <w:ilvl w:val="0"/>
          <w:numId w:val="1"/>
        </w:numPr>
        <w:rPr>
          <w:lang w:val="en-US"/>
        </w:rPr>
      </w:pPr>
      <w:r w:rsidRPr="000D4F95">
        <w:rPr>
          <w:lang w:val="en-US"/>
        </w:rPr>
        <w:t>Black or white housing color – others on request</w:t>
      </w:r>
    </w:p>
    <w:p w14:paraId="12F72609" w14:textId="77777777" w:rsidR="000D4F95" w:rsidRPr="000D4F95" w:rsidRDefault="000D4F95" w:rsidP="000D4F95">
      <w:pPr>
        <w:numPr>
          <w:ilvl w:val="0"/>
          <w:numId w:val="1"/>
        </w:numPr>
      </w:pPr>
      <w:r w:rsidRPr="000D4F95">
        <w:t xml:space="preserve">Warranty – 5 </w:t>
      </w:r>
      <w:proofErr w:type="spellStart"/>
      <w:r w:rsidRPr="000D4F95">
        <w:t>years</w:t>
      </w:r>
      <w:proofErr w:type="spellEnd"/>
    </w:p>
    <w:p w14:paraId="2E7AD1D5" w14:textId="77777777" w:rsidR="000D4F95" w:rsidRPr="000D4F95" w:rsidRDefault="000D4F95" w:rsidP="000D4F95">
      <w:proofErr w:type="spellStart"/>
      <w:r w:rsidRPr="000D4F95">
        <w:rPr>
          <w:b/>
          <w:bCs/>
        </w:rPr>
        <w:t>Features</w:t>
      </w:r>
      <w:proofErr w:type="spellEnd"/>
      <w:r w:rsidRPr="000D4F95">
        <w:rPr>
          <w:b/>
          <w:bCs/>
        </w:rPr>
        <w:t>:</w:t>
      </w:r>
    </w:p>
    <w:p w14:paraId="38D09DF3" w14:textId="77777777" w:rsidR="000D4F95" w:rsidRPr="000D4F95" w:rsidRDefault="000D4F95" w:rsidP="000D4F95">
      <w:pPr>
        <w:numPr>
          <w:ilvl w:val="0"/>
          <w:numId w:val="2"/>
        </w:numPr>
      </w:pPr>
      <w:proofErr w:type="spellStart"/>
      <w:r w:rsidRPr="000D4F95">
        <w:t>Luminous</w:t>
      </w:r>
      <w:proofErr w:type="spellEnd"/>
      <w:r w:rsidRPr="000D4F95">
        <w:t xml:space="preserve"> </w:t>
      </w:r>
      <w:proofErr w:type="spellStart"/>
      <w:r w:rsidRPr="000D4F95">
        <w:t>flux</w:t>
      </w:r>
      <w:proofErr w:type="spellEnd"/>
      <w:r w:rsidRPr="000D4F95">
        <w:t xml:space="preserve"> </w:t>
      </w:r>
      <w:proofErr w:type="spellStart"/>
      <w:r w:rsidRPr="000D4F95">
        <w:t>up</w:t>
      </w:r>
      <w:proofErr w:type="spellEnd"/>
      <w:r w:rsidRPr="000D4F95">
        <w:t xml:space="preserve"> to 3900 lm</w:t>
      </w:r>
    </w:p>
    <w:p w14:paraId="36485300" w14:textId="77777777" w:rsidR="000D4F95" w:rsidRPr="000D4F95" w:rsidRDefault="000D4F95" w:rsidP="000D4F95">
      <w:pPr>
        <w:numPr>
          <w:ilvl w:val="0"/>
          <w:numId w:val="2"/>
        </w:numPr>
        <w:rPr>
          <w:lang w:val="en-US"/>
        </w:rPr>
      </w:pPr>
      <w:r w:rsidRPr="000D4F95">
        <w:rPr>
          <w:lang w:val="en-US"/>
        </w:rPr>
        <w:t>Lifetime 50 000 hours at L90 / 100 000 hours L80</w:t>
      </w:r>
    </w:p>
    <w:p w14:paraId="0FA4EF62" w14:textId="77777777" w:rsidR="000D4F95" w:rsidRPr="000D4F95" w:rsidRDefault="000D4F95" w:rsidP="000D4F95">
      <w:pPr>
        <w:numPr>
          <w:ilvl w:val="0"/>
          <w:numId w:val="2"/>
        </w:numPr>
      </w:pPr>
      <w:r w:rsidRPr="000D4F95">
        <w:t xml:space="preserve">CRI80, CRI 90 on </w:t>
      </w:r>
      <w:proofErr w:type="spellStart"/>
      <w:r w:rsidRPr="000D4F95">
        <w:t>request</w:t>
      </w:r>
      <w:proofErr w:type="spellEnd"/>
    </w:p>
    <w:p w14:paraId="458047E9" w14:textId="77777777" w:rsidR="000D4F95" w:rsidRPr="000D4F95" w:rsidRDefault="000D4F95" w:rsidP="000D4F95">
      <w:pPr>
        <w:numPr>
          <w:ilvl w:val="0"/>
          <w:numId w:val="2"/>
        </w:numPr>
        <w:rPr>
          <w:lang w:val="en-US"/>
        </w:rPr>
      </w:pPr>
      <w:r w:rsidRPr="000D4F95">
        <w:rPr>
          <w:lang w:val="en-US"/>
        </w:rPr>
        <w:t xml:space="preserve">Luminous efficacy up to 160 </w:t>
      </w:r>
      <w:proofErr w:type="spellStart"/>
      <w:r w:rsidRPr="000D4F95">
        <w:rPr>
          <w:lang w:val="en-US"/>
        </w:rPr>
        <w:t>lm</w:t>
      </w:r>
      <w:proofErr w:type="spellEnd"/>
      <w:r w:rsidRPr="000D4F95">
        <w:rPr>
          <w:lang w:val="en-US"/>
        </w:rPr>
        <w:t>/W</w:t>
      </w:r>
    </w:p>
    <w:p w14:paraId="65539028" w14:textId="77777777" w:rsidR="000D4F95" w:rsidRPr="000D4F95" w:rsidRDefault="000D4F95" w:rsidP="000D4F95">
      <w:pPr>
        <w:numPr>
          <w:ilvl w:val="0"/>
          <w:numId w:val="2"/>
        </w:numPr>
      </w:pPr>
      <w:proofErr w:type="spellStart"/>
      <w:r w:rsidRPr="000D4F95">
        <w:t>Color</w:t>
      </w:r>
      <w:proofErr w:type="spellEnd"/>
      <w:r w:rsidRPr="000D4F95">
        <w:t xml:space="preserve"> </w:t>
      </w:r>
      <w:proofErr w:type="spellStart"/>
      <w:r w:rsidRPr="000D4F95">
        <w:t>temperature</w:t>
      </w:r>
      <w:proofErr w:type="spellEnd"/>
      <w:r w:rsidRPr="000D4F95">
        <w:t xml:space="preserve"> 3000 K and 4000 K</w:t>
      </w:r>
    </w:p>
    <w:p w14:paraId="51CE388E" w14:textId="77777777" w:rsidR="000D4F95" w:rsidRPr="000D4F95" w:rsidRDefault="000D4F95" w:rsidP="000D4F95">
      <w:pPr>
        <w:numPr>
          <w:ilvl w:val="0"/>
          <w:numId w:val="2"/>
        </w:numPr>
      </w:pPr>
      <w:r w:rsidRPr="000D4F95">
        <w:t xml:space="preserve">Power </w:t>
      </w:r>
      <w:proofErr w:type="spellStart"/>
      <w:r w:rsidRPr="000D4F95">
        <w:t>factor</w:t>
      </w:r>
      <w:proofErr w:type="spellEnd"/>
      <w:r w:rsidRPr="000D4F95">
        <w:t xml:space="preserve"> 0.95</w:t>
      </w:r>
    </w:p>
    <w:p w14:paraId="6F5C7A3F" w14:textId="77777777" w:rsidR="000D4F95" w:rsidRPr="000D4F95" w:rsidRDefault="000D4F95" w:rsidP="000D4F95">
      <w:pPr>
        <w:numPr>
          <w:ilvl w:val="0"/>
          <w:numId w:val="2"/>
        </w:numPr>
      </w:pPr>
      <w:r w:rsidRPr="000D4F95">
        <w:t>PSU driver</w:t>
      </w:r>
    </w:p>
    <w:p w14:paraId="49CABAD9" w14:textId="77777777" w:rsidR="000D4F95" w:rsidRPr="000D4F95" w:rsidRDefault="000D4F95" w:rsidP="000D4F95">
      <w:pPr>
        <w:numPr>
          <w:ilvl w:val="0"/>
          <w:numId w:val="2"/>
        </w:numPr>
      </w:pPr>
      <w:proofErr w:type="spellStart"/>
      <w:r w:rsidRPr="000D4F95">
        <w:t>Length</w:t>
      </w:r>
      <w:proofErr w:type="spellEnd"/>
      <w:r w:rsidRPr="000D4F95">
        <w:t xml:space="preserve"> </w:t>
      </w:r>
      <w:proofErr w:type="spellStart"/>
      <w:r w:rsidRPr="000D4F95">
        <w:t>available</w:t>
      </w:r>
      <w:proofErr w:type="spellEnd"/>
      <w:r w:rsidRPr="000D4F95">
        <w:t xml:space="preserve"> 1.2 m</w:t>
      </w:r>
    </w:p>
    <w:p w14:paraId="016EE955" w14:textId="77777777" w:rsidR="000D4F95" w:rsidRPr="000D4F95" w:rsidRDefault="000D4F95" w:rsidP="000D4F95">
      <w:r w:rsidRPr="000D4F95">
        <w:pict w14:anchorId="7D393428">
          <v:rect id="_x0000_i1063" style="width:0;height:.75pt" o:hralign="center" o:hrstd="t" o:hr="t" fillcolor="#a0a0a0" stroked="f"/>
        </w:pict>
      </w:r>
    </w:p>
    <w:p w14:paraId="16FA14D5" w14:textId="77777777" w:rsidR="000D4F95" w:rsidRPr="000D4F95" w:rsidRDefault="000D4F95" w:rsidP="000D4F95">
      <w:hyperlink r:id="rId9" w:history="1">
        <w:proofErr w:type="spellStart"/>
        <w:r w:rsidRPr="000D4F95">
          <w:rPr>
            <w:rStyle w:val="Hipercze"/>
            <w:b/>
            <w:bCs/>
          </w:rPr>
          <w:t>Download</w:t>
        </w:r>
        <w:proofErr w:type="spellEnd"/>
        <w:r w:rsidRPr="000D4F95">
          <w:rPr>
            <w:rStyle w:val="Hipercze"/>
            <w:b/>
            <w:bCs/>
          </w:rPr>
          <w:t xml:space="preserve"> Philips </w:t>
        </w:r>
        <w:proofErr w:type="spellStart"/>
        <w:r w:rsidRPr="000D4F95">
          <w:rPr>
            <w:rStyle w:val="Hipercze"/>
            <w:b/>
            <w:bCs/>
          </w:rPr>
          <w:t>Singleline</w:t>
        </w:r>
        <w:proofErr w:type="spellEnd"/>
        <w:r w:rsidRPr="000D4F95">
          <w:rPr>
            <w:rStyle w:val="Hipercze"/>
            <w:b/>
            <w:bCs/>
          </w:rPr>
          <w:t xml:space="preserve"> </w:t>
        </w:r>
        <w:proofErr w:type="spellStart"/>
        <w:r w:rsidRPr="000D4F95">
          <w:rPr>
            <w:rStyle w:val="Hipercze"/>
            <w:b/>
            <w:bCs/>
          </w:rPr>
          <w:t>leaflet</w:t>
        </w:r>
        <w:proofErr w:type="spellEnd"/>
      </w:hyperlink>
    </w:p>
    <w:p w14:paraId="12FDF6A4" w14:textId="77777777" w:rsidR="000D4F95" w:rsidRPr="000D4F95" w:rsidRDefault="000D4F95" w:rsidP="000D4F95">
      <w:r w:rsidRPr="000D4F95">
        <w:pict w14:anchorId="1692CAC2">
          <v:rect id="_x0000_i1064" style="width:0;height:.75pt" o:hralign="center" o:hrstd="t" o:hr="t" fillcolor="#a0a0a0" stroked="f"/>
        </w:pict>
      </w:r>
    </w:p>
    <w:p w14:paraId="33EBA697" w14:textId="77777777" w:rsidR="000D4F95" w:rsidRPr="000D4F95" w:rsidRDefault="000D4F95" w:rsidP="000D4F95">
      <w:pPr>
        <w:rPr>
          <w:lang w:val="en-US"/>
        </w:rPr>
      </w:pPr>
      <w:r w:rsidRPr="000D4F95">
        <w:rPr>
          <w:lang w:val="en-US"/>
        </w:rPr>
        <w:t xml:space="preserve">Philips </w:t>
      </w:r>
      <w:proofErr w:type="spellStart"/>
      <w:r w:rsidRPr="000D4F95">
        <w:rPr>
          <w:lang w:val="en-US"/>
        </w:rPr>
        <w:t>SingleLine</w:t>
      </w:r>
      <w:proofErr w:type="spellEnd"/>
      <w:r w:rsidRPr="000D4F95">
        <w:rPr>
          <w:lang w:val="en-US"/>
        </w:rPr>
        <w:t xml:space="preserve"> doesn’t try to stand out forcefully. It does so through consistency in design, quality craftsmanship, and refined details. Thanks to Polish production at the Signify factory in </w:t>
      </w:r>
      <w:proofErr w:type="spellStart"/>
      <w:r w:rsidRPr="000D4F95">
        <w:rPr>
          <w:lang w:val="en-US"/>
        </w:rPr>
        <w:t>Piła</w:t>
      </w:r>
      <w:proofErr w:type="spellEnd"/>
      <w:r w:rsidRPr="000D4F95">
        <w:rPr>
          <w:lang w:val="en-US"/>
        </w:rPr>
        <w:t>, it guarantees high quality and flexible configuration. It’s lighting that works – and looks – exactly as it should.</w:t>
      </w:r>
    </w:p>
    <w:p w14:paraId="552E8E08" w14:textId="77777777" w:rsidR="000D4F95" w:rsidRPr="000D4F95" w:rsidRDefault="000D4F95">
      <w:pPr>
        <w:rPr>
          <w:lang w:val="en-US"/>
        </w:rPr>
      </w:pPr>
    </w:p>
    <w:sectPr w:rsidR="000D4F95" w:rsidRPr="000D4F95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0BF5" w14:textId="77777777" w:rsidR="000D4F95" w:rsidRDefault="000D4F95" w:rsidP="000D4F95">
      <w:pPr>
        <w:spacing w:after="0" w:line="240" w:lineRule="auto"/>
      </w:pPr>
      <w:r>
        <w:separator/>
      </w:r>
    </w:p>
  </w:endnote>
  <w:endnote w:type="continuationSeparator" w:id="0">
    <w:p w14:paraId="5427B82F" w14:textId="77777777" w:rsidR="000D4F95" w:rsidRDefault="000D4F95" w:rsidP="000D4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D39EE" w14:textId="77777777" w:rsidR="000D4F95" w:rsidRDefault="000D4F95" w:rsidP="000D4F95">
      <w:pPr>
        <w:spacing w:after="0" w:line="240" w:lineRule="auto"/>
      </w:pPr>
      <w:r>
        <w:separator/>
      </w:r>
    </w:p>
  </w:footnote>
  <w:footnote w:type="continuationSeparator" w:id="0">
    <w:p w14:paraId="0E08C968" w14:textId="77777777" w:rsidR="000D4F95" w:rsidRDefault="000D4F95" w:rsidP="000D4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DA21" w14:textId="77841CCB" w:rsidR="000D4F95" w:rsidRDefault="000D4F9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5197F3" wp14:editId="747A12F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640668105" name="Pole tekstowe 6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0A753C" w14:textId="3C40714A" w:rsidR="000D4F95" w:rsidRPr="000D4F95" w:rsidRDefault="000D4F95" w:rsidP="000D4F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4F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5197F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500A753C" w14:textId="3C40714A" w:rsidR="000D4F95" w:rsidRPr="000D4F95" w:rsidRDefault="000D4F95" w:rsidP="000D4F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4F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26EF6" w14:textId="7A5A5E7E" w:rsidR="000D4F95" w:rsidRDefault="000D4F9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E80C8B" wp14:editId="2FBC0992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775368082" name="Pole tekstowe 7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30AFBA" w14:textId="4ED22333" w:rsidR="000D4F95" w:rsidRPr="000D4F95" w:rsidRDefault="000D4F95" w:rsidP="000D4F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4F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E80C8B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0830AFBA" w14:textId="4ED22333" w:rsidR="000D4F95" w:rsidRPr="000D4F95" w:rsidRDefault="000D4F95" w:rsidP="000D4F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4F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95A31" w14:textId="46661F95" w:rsidR="000D4F95" w:rsidRDefault="000D4F9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D66CC5" wp14:editId="1AE73D2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922821096" name="Pole tekstowe 5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55A52B" w14:textId="34AE1460" w:rsidR="000D4F95" w:rsidRPr="000D4F95" w:rsidRDefault="000D4F95" w:rsidP="000D4F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4F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D66CC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1455A52B" w14:textId="34AE1460" w:rsidR="000D4F95" w:rsidRPr="000D4F95" w:rsidRDefault="000D4F95" w:rsidP="000D4F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4F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507F8"/>
    <w:multiLevelType w:val="multilevel"/>
    <w:tmpl w:val="EE0C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4F2861"/>
    <w:multiLevelType w:val="multilevel"/>
    <w:tmpl w:val="A16C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6773403">
    <w:abstractNumId w:val="0"/>
  </w:num>
  <w:num w:numId="2" w16cid:durableId="1477143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95"/>
    <w:rsid w:val="000D4F95"/>
    <w:rsid w:val="00494DC1"/>
    <w:rsid w:val="004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E3CE"/>
  <w15:chartTrackingRefBased/>
  <w15:docId w15:val="{D2406DC6-7EB1-487A-AD03-A21FCB89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4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4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4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4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4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4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4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4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4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4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4F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F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4F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4F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4F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4F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4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4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4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4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4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4F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4F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4F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4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4F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4F9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D4F9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4F9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4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5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22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8509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038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475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49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953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7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40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212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7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77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7193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57216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1037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ltics.partnerportal.pro/technical-documentatio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ltics.partnerportal.pro/wp-content/uploads/sites/3/2025/08/Philips-SingleLine-leaflet-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2</cp:revision>
  <dcterms:created xsi:type="dcterms:W3CDTF">2025-09-12T10:15:00Z</dcterms:created>
  <dcterms:modified xsi:type="dcterms:W3CDTF">2025-09-12T10:18:00Z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729bebe8,262fd1c9,2e372d92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2025-09-12T10:16:01Z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eac1c6ff-437a-4895-a7c1-cfba20c0d6c9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